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95C51" w14:textId="77777777" w:rsidR="002D7DD1" w:rsidRDefault="002D7DD1" w:rsidP="00727265">
      <w:pPr>
        <w:spacing w:line="360" w:lineRule="auto"/>
        <w:ind w:right="844"/>
        <w:rPr>
          <w:rFonts w:ascii="Arial" w:hAnsi="Arial" w:cs="Arial"/>
          <w:b/>
          <w:sz w:val="36"/>
          <w:szCs w:val="36"/>
        </w:rPr>
      </w:pPr>
    </w:p>
    <w:p w14:paraId="4E97782D" w14:textId="77777777" w:rsidR="007904D3" w:rsidRDefault="001F6B01" w:rsidP="00727265">
      <w:pPr>
        <w:spacing w:line="360" w:lineRule="auto"/>
        <w:ind w:right="844"/>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33480BC6" w14:textId="77777777" w:rsidR="0077734A" w:rsidRDefault="0077734A" w:rsidP="00727265">
      <w:pPr>
        <w:spacing w:line="360" w:lineRule="auto"/>
        <w:ind w:right="561"/>
        <w:rPr>
          <w:rFonts w:ascii="Arial" w:hAnsi="Arial" w:cs="Arial"/>
          <w:bCs/>
          <w:sz w:val="22"/>
          <w:szCs w:val="22"/>
        </w:rPr>
      </w:pPr>
    </w:p>
    <w:p w14:paraId="76DF3589" w14:textId="7B3713F8" w:rsidR="00471B7A" w:rsidRDefault="00F11E39" w:rsidP="00727265">
      <w:pPr>
        <w:spacing w:line="360" w:lineRule="auto"/>
        <w:ind w:right="561"/>
        <w:rPr>
          <w:rFonts w:ascii="Arial" w:hAnsi="Arial" w:cs="Arial"/>
          <w:bCs/>
          <w:sz w:val="22"/>
          <w:szCs w:val="22"/>
        </w:rPr>
      </w:pPr>
      <w:r w:rsidRPr="00F11E39">
        <w:rPr>
          <w:rFonts w:ascii="Arial" w:hAnsi="Arial" w:cs="Arial"/>
          <w:b/>
          <w:bCs/>
          <w:sz w:val="28"/>
          <w:szCs w:val="28"/>
        </w:rPr>
        <w:t>Neue I/O-Module von Metz Connect für dezentrale Schaltaufgaben integrieren Modbus RTU und MS/TP in ein Gehäuse</w:t>
      </w:r>
      <w:r>
        <w:rPr>
          <w:rFonts w:ascii="Arial" w:hAnsi="Arial" w:cs="Arial"/>
          <w:b/>
          <w:bCs/>
          <w:sz w:val="28"/>
          <w:szCs w:val="28"/>
        </w:rPr>
        <w:t xml:space="preserve"> </w:t>
      </w:r>
    </w:p>
    <w:tbl>
      <w:tblPr>
        <w:tblW w:w="0" w:type="auto"/>
        <w:tblCellSpacing w:w="0" w:type="dxa"/>
        <w:tblCellMar>
          <w:left w:w="0" w:type="dxa"/>
          <w:right w:w="0" w:type="dxa"/>
        </w:tblCellMar>
        <w:tblLook w:val="04A0" w:firstRow="1" w:lastRow="0" w:firstColumn="1" w:lastColumn="0" w:noHBand="0" w:noVBand="1"/>
      </w:tblPr>
      <w:tblGrid>
        <w:gridCol w:w="9066"/>
      </w:tblGrid>
      <w:tr w:rsidR="00727265" w:rsidRPr="00126C1C" w14:paraId="300B9427" w14:textId="77777777" w:rsidTr="004F2F16">
        <w:trPr>
          <w:tblCellSpacing w:w="0" w:type="dxa"/>
        </w:trPr>
        <w:tc>
          <w:tcPr>
            <w:tcW w:w="0" w:type="auto"/>
            <w:vAlign w:val="center"/>
            <w:hideMark/>
          </w:tcPr>
          <w:p w14:paraId="71499CA7" w14:textId="1122DF18" w:rsidR="00727265" w:rsidRPr="00126C1C" w:rsidRDefault="00727265" w:rsidP="00727265">
            <w:pPr>
              <w:spacing w:line="360" w:lineRule="auto"/>
              <w:rPr>
                <w:rFonts w:ascii="Arial" w:hAnsi="Arial" w:cs="Arial"/>
                <w:b/>
                <w:bCs/>
              </w:rPr>
            </w:pPr>
          </w:p>
        </w:tc>
      </w:tr>
      <w:tr w:rsidR="00727265" w:rsidRPr="00126C1C" w14:paraId="64B0E9A9" w14:textId="77777777" w:rsidTr="004F2F16">
        <w:trPr>
          <w:tblCellSpacing w:w="0" w:type="dxa"/>
        </w:trPr>
        <w:tc>
          <w:tcPr>
            <w:tcW w:w="0" w:type="auto"/>
            <w:vAlign w:val="center"/>
            <w:hideMark/>
          </w:tcPr>
          <w:p w14:paraId="473F5BC8" w14:textId="26E77690" w:rsidR="00727265" w:rsidRPr="00126C1C" w:rsidRDefault="00727265" w:rsidP="00727265">
            <w:pPr>
              <w:spacing w:line="360" w:lineRule="auto"/>
              <w:rPr>
                <w:rFonts w:ascii="Arial" w:hAnsi="Arial" w:cs="Arial"/>
              </w:rPr>
            </w:pPr>
          </w:p>
        </w:tc>
      </w:tr>
      <w:tr w:rsidR="00727265" w:rsidRPr="00F11E39" w14:paraId="27EC72AC" w14:textId="77777777" w:rsidTr="004F2F16">
        <w:trPr>
          <w:tblCellSpacing w:w="0" w:type="dxa"/>
        </w:trPr>
        <w:tc>
          <w:tcPr>
            <w:tcW w:w="0" w:type="auto"/>
            <w:vAlign w:val="center"/>
            <w:hideMark/>
          </w:tcPr>
          <w:p w14:paraId="2C9F691A" w14:textId="77777777" w:rsidR="00F11E39" w:rsidRPr="00F11E39" w:rsidRDefault="00F11E39" w:rsidP="00F11E39">
            <w:pPr>
              <w:spacing w:line="360" w:lineRule="auto"/>
              <w:rPr>
                <w:rFonts w:ascii="Arial" w:hAnsi="Arial" w:cs="Arial"/>
              </w:rPr>
            </w:pPr>
            <w:r w:rsidRPr="00F11E39">
              <w:rPr>
                <w:rFonts w:ascii="Arial" w:hAnsi="Arial" w:cs="Arial"/>
              </w:rPr>
              <w:t>Blumberg, 19. Dezember 2022 – Metz Connect, ein Marktführer im Bereich der Verbindungstechnik und passiven Netzwerktechnik, bringt dezentrale I/O-Mischmodule auf den Markt, die die Feldbusse Modbus RTU und auch BACnet MS/TP (BTL-zertifiziert) im großräumigen IP65-Aufputz-Gehäuse unterstützen. Die Module MB-DIO2/1 und MB-DIO4/2 dienen zur Erfassung und Ansteuerung von motorisierten Stellgliedern, beispielsweise an Lüftungs- oder Brandschutzklappen, sowie für die Licht- und Jalousiesteuerung. Das MB-DIO2/1verfügt über zwei digitale Eingänge und einen Relaisausgang, das MB-DIO4/2 hat vier digitale Eingänge und zwei Relaisausgänge.</w:t>
            </w:r>
          </w:p>
          <w:p w14:paraId="7A8FE6E7" w14:textId="77777777" w:rsidR="00F11E39" w:rsidRPr="00F11E39" w:rsidRDefault="00F11E39" w:rsidP="00F11E39">
            <w:pPr>
              <w:spacing w:line="360" w:lineRule="auto"/>
              <w:rPr>
                <w:rFonts w:ascii="Arial" w:hAnsi="Arial" w:cs="Arial"/>
              </w:rPr>
            </w:pPr>
          </w:p>
          <w:p w14:paraId="7D9A31A9" w14:textId="77777777" w:rsidR="00F11E39" w:rsidRPr="00F11E39" w:rsidRDefault="00F11E39" w:rsidP="00F11E39">
            <w:pPr>
              <w:spacing w:line="360" w:lineRule="auto"/>
              <w:rPr>
                <w:rFonts w:ascii="Arial" w:hAnsi="Arial" w:cs="Arial"/>
              </w:rPr>
            </w:pPr>
            <w:r w:rsidRPr="00F11E39">
              <w:rPr>
                <w:rFonts w:ascii="Arial" w:hAnsi="Arial" w:cs="Arial"/>
              </w:rPr>
              <w:t>Im IP65-Aufputz-Gehäuse bieten die kostengünstigen Module ausreichend Platz für die Installation – es werden keine zusätzlichen Verteilerboxen benötigt. Sie sind vor allem für Systemintegratoren im Bereich in der Gebäudeautomation rund um Heizung, Lüftung, Klima (HLK) interessant. Metz Connect launcht die neuen Module in einem stark wachsenden HLK-Markt (CAGR: 6,1 %), der bis zum Jahr 2026 ein Marktvolumen von voraussichtlich 82,5 Milliarden Euro erreichen soll.</w:t>
            </w:r>
          </w:p>
          <w:p w14:paraId="1F702971" w14:textId="77777777" w:rsidR="00F11E39" w:rsidRPr="00F11E39" w:rsidRDefault="00F11E39" w:rsidP="00F11E39">
            <w:pPr>
              <w:spacing w:line="360" w:lineRule="auto"/>
              <w:rPr>
                <w:rFonts w:ascii="Arial" w:hAnsi="Arial" w:cs="Arial"/>
              </w:rPr>
            </w:pPr>
          </w:p>
          <w:p w14:paraId="115CDD12" w14:textId="5709B581" w:rsidR="00F11E39" w:rsidRPr="001F7982" w:rsidRDefault="00F11E39" w:rsidP="00F11E39">
            <w:pPr>
              <w:spacing w:line="360" w:lineRule="auto"/>
              <w:rPr>
                <w:rFonts w:ascii="Arial" w:hAnsi="Arial" w:cs="Arial"/>
                <w:b/>
                <w:bCs/>
              </w:rPr>
            </w:pPr>
            <w:r w:rsidRPr="00F11E39">
              <w:rPr>
                <w:rFonts w:ascii="Arial" w:hAnsi="Arial" w:cs="Arial"/>
              </w:rPr>
              <w:t xml:space="preserve">Es gibt zwei Modulvarianten: mit 24 V AC/DC und mit 230-V-Wechselspannung, wobei die Betriebsspannung der Schaltspannung für die Stellglieder bzw. Motoren entspricht. Grundsätzlich können in den IP65-Aufputz-Gehäusen offene Anschlussleitungen mit steckbarer Push-In-Technik ohne den Einsatz zusätzlicher Verteilerdosen angeschlossen werden. Außerdem bieten die 24-V-Module ausreichend Platz für die Einbindung von Stellgliedern mit AMP-Steckverbinder von TE Connectivity. Die steckbaren Federklemmanschlüsse sowie die unverlierbare </w:t>
            </w:r>
            <w:r w:rsidRPr="00F11E39">
              <w:rPr>
                <w:rFonts w:ascii="Arial" w:hAnsi="Arial" w:cs="Arial"/>
              </w:rPr>
              <w:lastRenderedPageBreak/>
              <w:t>Schnellschluss-Verschraubung im Deckel gewährleisten die schnelle und sichere Installation.</w:t>
            </w:r>
          </w:p>
          <w:p w14:paraId="0A9647FC" w14:textId="77777777" w:rsidR="00F11E39" w:rsidRPr="00F11E39" w:rsidRDefault="00727265" w:rsidP="00F11E39">
            <w:pPr>
              <w:spacing w:line="360" w:lineRule="auto"/>
              <w:rPr>
                <w:rFonts w:ascii="Arial" w:hAnsi="Arial" w:cs="Arial"/>
                <w:b/>
                <w:bCs/>
              </w:rPr>
            </w:pPr>
            <w:r w:rsidRPr="001F7982">
              <w:rPr>
                <w:rFonts w:ascii="Arial" w:hAnsi="Arial" w:cs="Arial"/>
                <w:b/>
                <w:bCs/>
              </w:rPr>
              <w:br/>
            </w:r>
            <w:r w:rsidR="00F11E39" w:rsidRPr="00F11E39">
              <w:rPr>
                <w:rFonts w:ascii="Arial" w:hAnsi="Arial" w:cs="Arial"/>
                <w:b/>
                <w:bCs/>
              </w:rPr>
              <w:t>Zwei verschiedene Bussysteme in einem kompakten IP65-Gehäuse</w:t>
            </w:r>
          </w:p>
          <w:p w14:paraId="42543DC1" w14:textId="77777777" w:rsidR="00F11E39" w:rsidRPr="00F11E39" w:rsidRDefault="00F11E39" w:rsidP="00F11E39">
            <w:pPr>
              <w:spacing w:line="360" w:lineRule="auto"/>
              <w:rPr>
                <w:rFonts w:ascii="Arial" w:hAnsi="Arial" w:cs="Arial"/>
                <w:b/>
                <w:bCs/>
              </w:rPr>
            </w:pPr>
          </w:p>
          <w:p w14:paraId="34D1E4BA" w14:textId="77777777" w:rsidR="00F11E39" w:rsidRPr="001F7982" w:rsidRDefault="00F11E39" w:rsidP="00F11E39">
            <w:pPr>
              <w:spacing w:line="360" w:lineRule="auto"/>
              <w:rPr>
                <w:rFonts w:ascii="Arial" w:hAnsi="Arial" w:cs="Arial"/>
              </w:rPr>
            </w:pPr>
            <w:r w:rsidRPr="001F7982">
              <w:rPr>
                <w:rFonts w:ascii="Arial" w:hAnsi="Arial" w:cs="Arial"/>
              </w:rPr>
              <w:t>Das Erfassen und Steuern von digitalen und analogen Signalen, z. B. von Endlagenschaltern oder Positionen von Stellgliedern wie Lüftungsklappen, gehört zu den wichtigen Aufgaben in der Gebäudeautomation. Hierfür werden häufig BACnet-, aber auch Modbus-Feldbuskomponenten verwendet. Metz Connect hat für beide Feldbusse I/O-Module mit digitalen und analogen Ein- und Ausgängen (Mischmodule) im Produktportfolio. Die beiden Bussysteme ermöglichen bei der Automatisierung von Gebäuden, Anlagen und Maschinen eine einfachere Planung und Installation sowie eine hohe Flexibilität bei der Nutzung der Infrastruktur.</w:t>
            </w:r>
          </w:p>
          <w:p w14:paraId="73407A00" w14:textId="77777777" w:rsidR="00F11E39" w:rsidRPr="001F7982" w:rsidRDefault="00F11E39" w:rsidP="00F11E39">
            <w:pPr>
              <w:spacing w:line="360" w:lineRule="auto"/>
              <w:rPr>
                <w:rFonts w:ascii="Arial" w:hAnsi="Arial" w:cs="Arial"/>
              </w:rPr>
            </w:pPr>
          </w:p>
          <w:p w14:paraId="7200E8B6" w14:textId="71572C85" w:rsidR="00727265" w:rsidRPr="001F7982" w:rsidRDefault="00F11E39" w:rsidP="00F11E39">
            <w:pPr>
              <w:spacing w:line="360" w:lineRule="auto"/>
              <w:rPr>
                <w:rFonts w:ascii="Arial" w:hAnsi="Arial" w:cs="Arial"/>
                <w:b/>
                <w:bCs/>
              </w:rPr>
            </w:pPr>
            <w:r w:rsidRPr="001F7982">
              <w:rPr>
                <w:rFonts w:ascii="Arial" w:hAnsi="Arial" w:cs="Arial"/>
              </w:rPr>
              <w:t>Die neuen I/O-Mischmodule MB-DIO2/1 und MB-DIO4/2 in Schutzart IP65 erweitern die bestehenden Metz Connect Baureihen der Modbus- und BACnet-Module. Sie unterstützen beide Feldbusse in einem einzigen Gehäuse und können je nach Betriebsart über Modbus RTU verschiedene Register oder über BACnet MS/TP unterschiedliche Objekte, wie Klappen oder Schalter, abfragen und schalten. Die Einstellung der Betriebsart sowie der Bitrate und Parität erfolgt über einen Drehschalter oder alternativ dazu über eine komfortable Software. Die Module haben zudem einen Schalter für die manuelle Steuerung (Handbedienebene). Mit dem optionalen Metz Connect Modbus-Gateway (MR-GW) oder BACnet-Router (BMT-RTR) lassen sich die Module zudem einfach in ein IP-Netzwerk integrieren.</w:t>
            </w:r>
          </w:p>
        </w:tc>
      </w:tr>
    </w:tbl>
    <w:p w14:paraId="58B553C4" w14:textId="77777777" w:rsidR="00226B25" w:rsidRPr="001F7982" w:rsidRDefault="00226B25" w:rsidP="00727265">
      <w:pPr>
        <w:spacing w:line="360" w:lineRule="auto"/>
        <w:ind w:right="-6"/>
        <w:rPr>
          <w:rFonts w:ascii="Arial" w:hAnsi="Arial" w:cs="Arial"/>
          <w:b/>
          <w:bCs/>
          <w:sz w:val="22"/>
          <w:szCs w:val="22"/>
        </w:rPr>
      </w:pPr>
    </w:p>
    <w:p w14:paraId="466A82AE" w14:textId="77777777" w:rsidR="00727265" w:rsidRDefault="00727265" w:rsidP="00727265">
      <w:pPr>
        <w:spacing w:line="360" w:lineRule="auto"/>
        <w:ind w:right="-6"/>
        <w:rPr>
          <w:rFonts w:ascii="Arial" w:hAnsi="Arial" w:cs="Arial"/>
          <w:bCs/>
          <w:sz w:val="22"/>
          <w:szCs w:val="22"/>
        </w:rPr>
      </w:pPr>
    </w:p>
    <w:p w14:paraId="6E7F292B" w14:textId="77777777" w:rsidR="00727265" w:rsidRDefault="00727265" w:rsidP="00727265">
      <w:pPr>
        <w:spacing w:line="360" w:lineRule="auto"/>
        <w:ind w:right="-6"/>
        <w:rPr>
          <w:rFonts w:ascii="Arial" w:hAnsi="Arial" w:cs="Arial"/>
          <w:bCs/>
          <w:sz w:val="22"/>
          <w:szCs w:val="22"/>
        </w:rPr>
      </w:pPr>
    </w:p>
    <w:p w14:paraId="78EAD724" w14:textId="77777777" w:rsidR="00727265" w:rsidRDefault="00727265" w:rsidP="00727265">
      <w:pPr>
        <w:spacing w:line="360" w:lineRule="auto"/>
        <w:ind w:right="-6"/>
        <w:rPr>
          <w:rFonts w:ascii="Arial" w:hAnsi="Arial" w:cs="Arial"/>
          <w:bCs/>
          <w:sz w:val="22"/>
          <w:szCs w:val="22"/>
        </w:rPr>
      </w:pPr>
    </w:p>
    <w:p w14:paraId="52A222A8" w14:textId="77777777" w:rsidR="00727265" w:rsidRDefault="00727265" w:rsidP="00727265">
      <w:pPr>
        <w:spacing w:line="360" w:lineRule="auto"/>
        <w:ind w:right="-6"/>
        <w:rPr>
          <w:rFonts w:ascii="Arial" w:hAnsi="Arial" w:cs="Arial"/>
          <w:bCs/>
          <w:sz w:val="22"/>
          <w:szCs w:val="22"/>
        </w:rPr>
      </w:pPr>
    </w:p>
    <w:p w14:paraId="65AA4F81" w14:textId="77777777" w:rsidR="00727265" w:rsidRDefault="00727265" w:rsidP="00727265">
      <w:pPr>
        <w:spacing w:line="360" w:lineRule="auto"/>
        <w:ind w:right="-6"/>
        <w:rPr>
          <w:rFonts w:ascii="Arial" w:hAnsi="Arial" w:cs="Arial"/>
          <w:bCs/>
          <w:sz w:val="22"/>
          <w:szCs w:val="22"/>
        </w:rPr>
      </w:pPr>
    </w:p>
    <w:p w14:paraId="76023AF0" w14:textId="77777777" w:rsidR="00727265" w:rsidRDefault="00727265" w:rsidP="00727265">
      <w:pPr>
        <w:spacing w:line="360" w:lineRule="auto"/>
        <w:ind w:right="-6"/>
        <w:rPr>
          <w:rFonts w:ascii="Arial" w:hAnsi="Arial" w:cs="Arial"/>
          <w:bCs/>
          <w:sz w:val="22"/>
          <w:szCs w:val="22"/>
        </w:rPr>
      </w:pPr>
    </w:p>
    <w:p w14:paraId="46496FC6" w14:textId="77777777" w:rsidR="00727265" w:rsidRDefault="00727265" w:rsidP="00727265">
      <w:pPr>
        <w:spacing w:line="360" w:lineRule="auto"/>
        <w:ind w:right="-6"/>
        <w:rPr>
          <w:rFonts w:ascii="Arial" w:hAnsi="Arial" w:cs="Arial"/>
          <w:bCs/>
          <w:sz w:val="22"/>
          <w:szCs w:val="22"/>
        </w:rPr>
      </w:pPr>
    </w:p>
    <w:p w14:paraId="660250F5" w14:textId="77777777" w:rsidR="00727265" w:rsidRDefault="00727265" w:rsidP="00727265">
      <w:pPr>
        <w:spacing w:line="360" w:lineRule="auto"/>
        <w:ind w:right="-6"/>
        <w:rPr>
          <w:rFonts w:ascii="Arial" w:hAnsi="Arial" w:cs="Arial"/>
          <w:bCs/>
          <w:sz w:val="22"/>
          <w:szCs w:val="22"/>
        </w:rPr>
      </w:pPr>
    </w:p>
    <w:p w14:paraId="0887ACA0" w14:textId="77777777" w:rsidR="00727265" w:rsidRDefault="00727265" w:rsidP="00727265">
      <w:pPr>
        <w:spacing w:line="360" w:lineRule="auto"/>
        <w:ind w:right="-6"/>
        <w:rPr>
          <w:rFonts w:ascii="Arial" w:hAnsi="Arial" w:cs="Arial"/>
          <w:bCs/>
          <w:sz w:val="22"/>
          <w:szCs w:val="22"/>
        </w:rPr>
      </w:pPr>
    </w:p>
    <w:p w14:paraId="7AAC5013" w14:textId="77777777" w:rsidR="00694E3B" w:rsidRPr="0083376C" w:rsidRDefault="00694E3B" w:rsidP="00727265">
      <w:pPr>
        <w:spacing w:line="360" w:lineRule="auto"/>
        <w:ind w:right="-6"/>
        <w:rPr>
          <w:rFonts w:ascii="Arial" w:hAnsi="Arial" w:cs="Arial"/>
          <w:bCs/>
          <w:sz w:val="22"/>
          <w:szCs w:val="22"/>
        </w:rPr>
      </w:pPr>
    </w:p>
    <w:p w14:paraId="4B9B06E5" w14:textId="70C836DC" w:rsidR="00C727A9" w:rsidRDefault="0083376C" w:rsidP="00727265">
      <w:pPr>
        <w:spacing w:line="360" w:lineRule="auto"/>
        <w:ind w:right="844"/>
        <w:rPr>
          <w:rFonts w:ascii="Arial" w:hAnsi="Arial" w:cs="Arial"/>
          <w:b/>
          <w:bCs/>
          <w:sz w:val="28"/>
          <w:szCs w:val="28"/>
          <w:u w:val="single"/>
        </w:rPr>
      </w:pPr>
      <w:r w:rsidRPr="0083376C">
        <w:rPr>
          <w:rFonts w:ascii="Arial" w:hAnsi="Arial" w:cs="Arial"/>
          <w:b/>
          <w:bCs/>
          <w:sz w:val="28"/>
          <w:szCs w:val="28"/>
          <w:u w:val="single"/>
        </w:rPr>
        <w:lastRenderedPageBreak/>
        <w:t>Bild</w:t>
      </w:r>
      <w:r w:rsidR="00685696">
        <w:rPr>
          <w:rFonts w:ascii="Arial" w:hAnsi="Arial" w:cs="Arial"/>
          <w:b/>
          <w:bCs/>
          <w:sz w:val="28"/>
          <w:szCs w:val="28"/>
          <w:u w:val="single"/>
        </w:rPr>
        <w:t>er</w:t>
      </w:r>
      <w:r w:rsidRPr="0083376C">
        <w:rPr>
          <w:rFonts w:ascii="Arial" w:hAnsi="Arial" w:cs="Arial"/>
          <w:b/>
          <w:bCs/>
          <w:sz w:val="28"/>
          <w:szCs w:val="28"/>
          <w:u w:val="single"/>
        </w:rPr>
        <w:t xml:space="preserve"> und Bildunterschrift</w:t>
      </w:r>
      <w:r w:rsidR="00685696">
        <w:rPr>
          <w:rFonts w:ascii="Arial" w:hAnsi="Arial" w:cs="Arial"/>
          <w:b/>
          <w:bCs/>
          <w:sz w:val="28"/>
          <w:szCs w:val="28"/>
          <w:u w:val="single"/>
        </w:rPr>
        <w:t>en</w:t>
      </w:r>
    </w:p>
    <w:p w14:paraId="34F5E557" w14:textId="51049EAE" w:rsidR="008F64A6" w:rsidRDefault="008F64A6" w:rsidP="00727265">
      <w:pPr>
        <w:spacing w:line="360" w:lineRule="auto"/>
        <w:ind w:right="844"/>
        <w:rPr>
          <w:rFonts w:ascii="Arial" w:hAnsi="Arial" w:cs="Arial"/>
          <w:sz w:val="20"/>
          <w:szCs w:val="20"/>
        </w:rPr>
      </w:pPr>
    </w:p>
    <w:p w14:paraId="037F2628" w14:textId="64146119" w:rsidR="005373BC" w:rsidRDefault="00FF1EAD" w:rsidP="00727265">
      <w:pPr>
        <w:spacing w:line="360" w:lineRule="auto"/>
        <w:ind w:right="1978"/>
        <w:rPr>
          <w:rFonts w:ascii="Arial" w:hAnsi="Arial" w:cs="Arial"/>
          <w:sz w:val="20"/>
          <w:szCs w:val="20"/>
        </w:rPr>
      </w:pPr>
      <w:r>
        <w:rPr>
          <w:noProof/>
        </w:rPr>
        <w:drawing>
          <wp:inline distT="0" distB="0" distL="0" distR="0" wp14:anchorId="2AF41BCF" wp14:editId="206607A3">
            <wp:extent cx="2895600" cy="1629974"/>
            <wp:effectExtent l="0" t="0" r="0" b="8890"/>
            <wp:docPr id="20332464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03947" cy="1634673"/>
                    </a:xfrm>
                    <a:prstGeom prst="rect">
                      <a:avLst/>
                    </a:prstGeom>
                    <a:noFill/>
                    <a:ln>
                      <a:noFill/>
                    </a:ln>
                  </pic:spPr>
                </pic:pic>
              </a:graphicData>
            </a:graphic>
          </wp:inline>
        </w:drawing>
      </w:r>
    </w:p>
    <w:p w14:paraId="6E58B0F6" w14:textId="63E929A3" w:rsidR="00F11E39" w:rsidRDefault="00F11E39" w:rsidP="00727265">
      <w:pPr>
        <w:spacing w:line="360" w:lineRule="auto"/>
        <w:ind w:right="844"/>
        <w:rPr>
          <w:rFonts w:ascii="Arial" w:hAnsi="Arial" w:cs="Arial"/>
          <w:sz w:val="20"/>
          <w:szCs w:val="20"/>
        </w:rPr>
      </w:pPr>
      <w:r w:rsidRPr="00F11E39">
        <w:rPr>
          <w:rFonts w:ascii="Arial" w:hAnsi="Arial" w:cs="Arial"/>
          <w:sz w:val="20"/>
          <w:szCs w:val="20"/>
        </w:rPr>
        <w:t>Neue I/O-Mischmodule von Metz Connect für die Ansteuerung von Lüftungsklappen über Modbus RTU und BACnet MS/TP</w:t>
      </w:r>
    </w:p>
    <w:p w14:paraId="3F4E9141" w14:textId="77777777" w:rsidR="00F11E39" w:rsidRDefault="00F11E39" w:rsidP="00727265">
      <w:pPr>
        <w:spacing w:line="360" w:lineRule="auto"/>
        <w:ind w:right="844"/>
        <w:rPr>
          <w:rFonts w:ascii="Arial" w:hAnsi="Arial" w:cs="Arial"/>
          <w:sz w:val="20"/>
          <w:szCs w:val="20"/>
        </w:rPr>
      </w:pPr>
    </w:p>
    <w:p w14:paraId="236A1894" w14:textId="02EF4A07" w:rsidR="00244604" w:rsidRDefault="00F11E39" w:rsidP="00727265">
      <w:pPr>
        <w:spacing w:line="360" w:lineRule="auto"/>
        <w:ind w:right="844"/>
        <w:rPr>
          <w:rFonts w:ascii="Arial" w:hAnsi="Arial" w:cs="Arial"/>
          <w:sz w:val="20"/>
          <w:szCs w:val="20"/>
        </w:rPr>
      </w:pPr>
      <w:r>
        <w:rPr>
          <w:noProof/>
        </w:rPr>
        <w:drawing>
          <wp:inline distT="0" distB="0" distL="0" distR="0" wp14:anchorId="42A4FCB2" wp14:editId="6C0F5152">
            <wp:extent cx="1781045" cy="1000125"/>
            <wp:effectExtent l="0" t="0" r="0" b="0"/>
            <wp:docPr id="1815776251" name="Grafik 2" descr="Ein Bild, das Im Haus, Wand, Boden,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76251" name="Grafik 2" descr="Ein Bild, das Im Haus, Wand, Boden, Design enthält.&#10;&#10;Automatisch generierte Beschreibu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87899" cy="1003974"/>
                    </a:xfrm>
                    <a:prstGeom prst="rect">
                      <a:avLst/>
                    </a:prstGeom>
                    <a:noFill/>
                    <a:ln>
                      <a:noFill/>
                    </a:ln>
                  </pic:spPr>
                </pic:pic>
              </a:graphicData>
            </a:graphic>
          </wp:inline>
        </w:drawing>
      </w:r>
    </w:p>
    <w:p w14:paraId="65549B7E" w14:textId="193021B9" w:rsidR="00F11E39" w:rsidRDefault="00F11E39" w:rsidP="00727265">
      <w:pPr>
        <w:spacing w:line="360" w:lineRule="auto"/>
        <w:ind w:right="844"/>
        <w:rPr>
          <w:rFonts w:ascii="Arial" w:hAnsi="Arial" w:cs="Arial"/>
          <w:sz w:val="20"/>
          <w:szCs w:val="20"/>
        </w:rPr>
      </w:pPr>
      <w:r w:rsidRPr="00F11E39">
        <w:rPr>
          <w:rFonts w:ascii="Arial" w:hAnsi="Arial" w:cs="Arial"/>
          <w:sz w:val="20"/>
          <w:szCs w:val="20"/>
        </w:rPr>
        <w:t>Die Ansteuerung von Lüftungsklappen ist ein typisches Beispiel für die neuen I/O-Mischmodule von Metz Connect</w:t>
      </w:r>
    </w:p>
    <w:p w14:paraId="06B2D34F" w14:textId="77777777" w:rsidR="00F11E39" w:rsidRDefault="00F11E39" w:rsidP="00727265">
      <w:pPr>
        <w:spacing w:line="360" w:lineRule="auto"/>
        <w:ind w:right="844"/>
        <w:rPr>
          <w:rFonts w:ascii="Arial" w:hAnsi="Arial" w:cs="Arial"/>
          <w:sz w:val="20"/>
          <w:szCs w:val="20"/>
        </w:rPr>
      </w:pPr>
    </w:p>
    <w:p w14:paraId="0F3C9298" w14:textId="653D36F2" w:rsidR="00F11E39" w:rsidRDefault="00F11E39" w:rsidP="00727265">
      <w:pPr>
        <w:spacing w:line="360" w:lineRule="auto"/>
        <w:ind w:right="844"/>
        <w:rPr>
          <w:rFonts w:ascii="Arial" w:hAnsi="Arial" w:cs="Arial"/>
          <w:sz w:val="20"/>
          <w:szCs w:val="20"/>
        </w:rPr>
      </w:pPr>
      <w:r>
        <w:rPr>
          <w:noProof/>
        </w:rPr>
        <w:drawing>
          <wp:inline distT="0" distB="0" distL="0" distR="0" wp14:anchorId="307B4799" wp14:editId="4EA15388">
            <wp:extent cx="1780540" cy="1328557"/>
            <wp:effectExtent l="0" t="0" r="0" b="5080"/>
            <wp:docPr id="693311474" name="Grafik 3" descr="Ein Bild, das Text, Screenshot, Diagramm,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311474" name="Grafik 3" descr="Ein Bild, das Text, Screenshot, Diagramm, Design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85082" cy="1331946"/>
                    </a:xfrm>
                    <a:prstGeom prst="rect">
                      <a:avLst/>
                    </a:prstGeom>
                    <a:noFill/>
                    <a:ln>
                      <a:noFill/>
                    </a:ln>
                  </pic:spPr>
                </pic:pic>
              </a:graphicData>
            </a:graphic>
          </wp:inline>
        </w:drawing>
      </w:r>
    </w:p>
    <w:p w14:paraId="149C65E0" w14:textId="12070484" w:rsidR="00F11E39" w:rsidRDefault="00F11E39" w:rsidP="00727265">
      <w:pPr>
        <w:spacing w:line="360" w:lineRule="auto"/>
        <w:ind w:right="844"/>
        <w:rPr>
          <w:rFonts w:ascii="Arial" w:hAnsi="Arial" w:cs="Arial"/>
          <w:sz w:val="20"/>
          <w:szCs w:val="20"/>
        </w:rPr>
      </w:pPr>
      <w:r w:rsidRPr="00F11E39">
        <w:rPr>
          <w:rFonts w:ascii="Arial" w:hAnsi="Arial" w:cs="Arial"/>
          <w:sz w:val="20"/>
          <w:szCs w:val="20"/>
        </w:rPr>
        <w:t>Systembild (Beispiel mit Ansteuerung und Erfassung von Lüftungsklappen 24 V AC/DC oder 230 V AC)</w:t>
      </w:r>
    </w:p>
    <w:p w14:paraId="3A3FF42D" w14:textId="77777777" w:rsidR="00226B25" w:rsidRDefault="00226B25" w:rsidP="00727265">
      <w:pPr>
        <w:spacing w:line="360" w:lineRule="auto"/>
        <w:ind w:right="844"/>
        <w:rPr>
          <w:rFonts w:ascii="Arial" w:hAnsi="Arial" w:cs="Arial"/>
          <w:sz w:val="20"/>
          <w:szCs w:val="20"/>
        </w:rPr>
      </w:pPr>
    </w:p>
    <w:p w14:paraId="452D319E" w14:textId="77777777" w:rsidR="006C61AB" w:rsidRPr="001B2B8E" w:rsidRDefault="006C61AB" w:rsidP="006C61AB">
      <w:pPr>
        <w:ind w:right="277"/>
        <w:rPr>
          <w:rFonts w:ascii="Arial" w:hAnsi="Arial" w:cs="Arial"/>
          <w:b/>
        </w:rPr>
      </w:pPr>
      <w:r w:rsidRPr="001B2B8E">
        <w:rPr>
          <w:rFonts w:ascii="Arial" w:hAnsi="Arial" w:cs="Arial"/>
          <w:b/>
        </w:rPr>
        <w:t>Über METZ CONNECT</w:t>
      </w:r>
    </w:p>
    <w:p w14:paraId="71D5427A" w14:textId="77777777" w:rsidR="006C61AB" w:rsidRPr="00A061A5" w:rsidRDefault="006C61AB" w:rsidP="006C61AB">
      <w:pPr>
        <w:ind w:right="277"/>
        <w:rPr>
          <w:rFonts w:ascii="Arial" w:hAnsi="Arial" w:cs="Arial"/>
        </w:rPr>
      </w:pPr>
    </w:p>
    <w:p w14:paraId="1D64387C" w14:textId="77777777" w:rsidR="006C61AB" w:rsidRPr="00603C84" w:rsidRDefault="006C61AB" w:rsidP="006C61AB">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 xml:space="preserve">m Jahr 2017 hat das Unternehmen am </w:t>
      </w:r>
      <w:r w:rsidRPr="00A061A5">
        <w:rPr>
          <w:rFonts w:ascii="Arial" w:hAnsi="Arial" w:cs="Arial"/>
          <w:color w:val="000000" w:themeColor="text1"/>
        </w:rPr>
        <w:lastRenderedPageBreak/>
        <w:t>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um gestiegenen Marktanforderungen bei hochbitratigen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1" w:tgtFrame="_blank" w:history="1">
        <w:r w:rsidRPr="00603C84">
          <w:rPr>
            <w:rStyle w:val="Hyperlink"/>
            <w:rFonts w:ascii="Arial" w:eastAsiaTheme="majorEastAsia" w:hAnsi="Arial" w:cs="Arial"/>
            <w:lang w:val="en-US"/>
          </w:rPr>
          <w:t>www.metz-connect.com</w:t>
        </w:r>
      </w:hyperlink>
    </w:p>
    <w:p w14:paraId="28D7B1C2" w14:textId="77777777" w:rsidR="006C61AB" w:rsidRPr="00603C84" w:rsidRDefault="006C61AB" w:rsidP="006C61AB">
      <w:pPr>
        <w:ind w:right="277"/>
        <w:rPr>
          <w:rFonts w:ascii="Arial" w:hAnsi="Arial" w:cs="Arial"/>
          <w:lang w:val="en-US"/>
        </w:rPr>
      </w:pPr>
    </w:p>
    <w:p w14:paraId="75CB289B" w14:textId="77777777" w:rsidR="006C61AB" w:rsidRPr="00603C84" w:rsidRDefault="006C61AB" w:rsidP="006C61AB">
      <w:pPr>
        <w:ind w:right="277"/>
        <w:rPr>
          <w:rFonts w:ascii="Arial" w:hAnsi="Arial" w:cs="Arial"/>
          <w:lang w:val="en-US"/>
        </w:rPr>
      </w:pPr>
      <w:r w:rsidRPr="00603C84">
        <w:rPr>
          <w:rFonts w:ascii="Arial" w:hAnsi="Arial" w:cs="Arial"/>
          <w:b/>
          <w:lang w:val="en-US"/>
        </w:rPr>
        <w:t>Redaktionskontakt:</w:t>
      </w:r>
      <w:r w:rsidRPr="00603C84">
        <w:rPr>
          <w:rFonts w:ascii="Arial" w:hAnsi="Arial" w:cs="Arial"/>
          <w:lang w:val="en-US"/>
        </w:rPr>
        <w:tab/>
      </w:r>
    </w:p>
    <w:p w14:paraId="0DE1A6F1" w14:textId="77777777" w:rsidR="006C61AB" w:rsidRPr="00603C84" w:rsidRDefault="006C61AB" w:rsidP="006C61AB">
      <w:pPr>
        <w:ind w:right="277"/>
        <w:rPr>
          <w:rFonts w:ascii="Arial" w:hAnsi="Arial" w:cs="Arial"/>
          <w:lang w:val="en-US"/>
        </w:rPr>
      </w:pPr>
      <w:r w:rsidRPr="00603C84">
        <w:rPr>
          <w:rFonts w:ascii="Arial" w:hAnsi="Arial" w:cs="Arial"/>
          <w:lang w:val="en-US"/>
        </w:rPr>
        <w:t>METZ CONNECT GmbH</w:t>
      </w:r>
    </w:p>
    <w:p w14:paraId="24CE1CEE" w14:textId="77777777" w:rsidR="006C61AB" w:rsidRPr="00603C84" w:rsidRDefault="006C61AB" w:rsidP="006C61AB">
      <w:pPr>
        <w:ind w:right="277"/>
        <w:rPr>
          <w:rFonts w:ascii="Arial" w:hAnsi="Arial" w:cs="Arial"/>
          <w:lang w:val="en-US"/>
        </w:rPr>
      </w:pPr>
      <w:r w:rsidRPr="00603C84">
        <w:rPr>
          <w:rFonts w:ascii="Arial" w:hAnsi="Arial" w:cs="Arial"/>
          <w:lang w:val="en-US"/>
        </w:rPr>
        <w:t>Tel. | Phone +49 7702 533-444</w:t>
      </w:r>
    </w:p>
    <w:p w14:paraId="1238A4D7" w14:textId="77777777" w:rsidR="006C61AB" w:rsidRPr="00603C84" w:rsidRDefault="006C61AB" w:rsidP="006C61AB">
      <w:pPr>
        <w:ind w:right="277"/>
        <w:jc w:val="both"/>
        <w:rPr>
          <w:rFonts w:ascii="Arial" w:hAnsi="Arial" w:cs="Arial"/>
          <w:lang w:val="en-US"/>
        </w:rPr>
      </w:pPr>
      <w:hyperlink r:id="rId12" w:history="1">
        <w:r w:rsidRPr="00603C84">
          <w:rPr>
            <w:rStyle w:val="Hyperlink"/>
            <w:rFonts w:ascii="Arial" w:eastAsiaTheme="majorEastAsia" w:hAnsi="Arial" w:cs="Arial"/>
            <w:lang w:val="en-US"/>
          </w:rPr>
          <w:t>marketing@metz-connect.com</w:t>
        </w:r>
      </w:hyperlink>
    </w:p>
    <w:p w14:paraId="22187F6F" w14:textId="77777777" w:rsidR="006C61AB" w:rsidRPr="00603C84" w:rsidRDefault="006C61AB" w:rsidP="006C61AB">
      <w:pPr>
        <w:ind w:right="277"/>
        <w:jc w:val="both"/>
        <w:rPr>
          <w:rFonts w:ascii="Arial" w:hAnsi="Arial" w:cs="Arial"/>
          <w:lang w:val="en-US"/>
        </w:rPr>
      </w:pPr>
    </w:p>
    <w:p w14:paraId="20DD8910" w14:textId="77777777" w:rsidR="006C61AB" w:rsidRPr="00603C84" w:rsidRDefault="006C61AB" w:rsidP="006C61AB">
      <w:pPr>
        <w:ind w:right="277"/>
        <w:rPr>
          <w:rFonts w:ascii="Arial" w:hAnsi="Arial" w:cs="Arial"/>
          <w:lang w:val="en-US"/>
        </w:rPr>
      </w:pPr>
    </w:p>
    <w:p w14:paraId="6DDFE614" w14:textId="77777777" w:rsidR="006C61AB" w:rsidRPr="00603C84" w:rsidRDefault="006C61AB" w:rsidP="006C61AB">
      <w:pPr>
        <w:ind w:right="277"/>
        <w:rPr>
          <w:rFonts w:ascii="Arial" w:hAnsi="Arial" w:cs="Arial"/>
          <w:b/>
          <w:bCs/>
          <w:lang w:val="en-US"/>
        </w:rPr>
      </w:pPr>
      <w:r w:rsidRPr="00603C84">
        <w:rPr>
          <w:rFonts w:ascii="Arial" w:hAnsi="Arial" w:cs="Arial"/>
          <w:b/>
          <w:bCs/>
          <w:lang w:val="en-US"/>
        </w:rPr>
        <w:t>Agenturkontakt:</w:t>
      </w:r>
    </w:p>
    <w:p w14:paraId="418A811B"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7987BBC0"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673AB7DF"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Wildmoos 7</w:t>
      </w:r>
    </w:p>
    <w:p w14:paraId="52ACE16B"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4D50A5EE"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29FA700F" w14:textId="77777777" w:rsidR="006C61AB" w:rsidRPr="00A061A5" w:rsidRDefault="006C61AB" w:rsidP="006C61AB">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p w14:paraId="5E882F29" w14:textId="77777777" w:rsidR="00E00814" w:rsidRPr="00D526AE" w:rsidRDefault="00E00814" w:rsidP="006C61AB">
      <w:pPr>
        <w:ind w:right="277"/>
        <w:rPr>
          <w:rFonts w:ascii="Arial" w:hAnsi="Arial" w:cs="Arial"/>
          <w:sz w:val="22"/>
          <w:szCs w:val="22"/>
          <w:lang w:val="en-US"/>
        </w:rPr>
      </w:pPr>
    </w:p>
    <w:sectPr w:rsidR="00E00814" w:rsidRPr="00D526AE" w:rsidSect="00EE733C">
      <w:footerReference w:type="default" r:id="rId13"/>
      <w:headerReference w:type="first" r:id="rId14"/>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2F0CE" w14:textId="77777777" w:rsidR="00F7057E" w:rsidRDefault="00F7057E" w:rsidP="009418B9">
      <w:r>
        <w:separator/>
      </w:r>
    </w:p>
  </w:endnote>
  <w:endnote w:type="continuationSeparator" w:id="0">
    <w:p w14:paraId="653C2485" w14:textId="77777777" w:rsidR="00F7057E" w:rsidRDefault="00F7057E"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0C437" w14:textId="77777777" w:rsidR="00F7057E" w:rsidRDefault="00F7057E" w:rsidP="009418B9">
      <w:r>
        <w:separator/>
      </w:r>
    </w:p>
  </w:footnote>
  <w:footnote w:type="continuationSeparator" w:id="0">
    <w:p w14:paraId="494716EE" w14:textId="77777777" w:rsidR="00F7057E" w:rsidRDefault="00F7057E"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1A95"/>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911BE"/>
    <w:rsid w:val="000925C2"/>
    <w:rsid w:val="000A27EC"/>
    <w:rsid w:val="000A757B"/>
    <w:rsid w:val="000B0D24"/>
    <w:rsid w:val="000C4B98"/>
    <w:rsid w:val="000D3DFE"/>
    <w:rsid w:val="000D5F49"/>
    <w:rsid w:val="000E2362"/>
    <w:rsid w:val="000E4D7B"/>
    <w:rsid w:val="000E5689"/>
    <w:rsid w:val="000F42FD"/>
    <w:rsid w:val="00112233"/>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74BC2"/>
    <w:rsid w:val="00187647"/>
    <w:rsid w:val="0019034A"/>
    <w:rsid w:val="00190360"/>
    <w:rsid w:val="00191351"/>
    <w:rsid w:val="001A0023"/>
    <w:rsid w:val="001E11EE"/>
    <w:rsid w:val="001E4690"/>
    <w:rsid w:val="001F2650"/>
    <w:rsid w:val="001F35C2"/>
    <w:rsid w:val="001F3D88"/>
    <w:rsid w:val="001F6B01"/>
    <w:rsid w:val="001F7982"/>
    <w:rsid w:val="00205880"/>
    <w:rsid w:val="002061B9"/>
    <w:rsid w:val="00226B25"/>
    <w:rsid w:val="00227930"/>
    <w:rsid w:val="002341F1"/>
    <w:rsid w:val="00240164"/>
    <w:rsid w:val="00244604"/>
    <w:rsid w:val="00246797"/>
    <w:rsid w:val="00250E3B"/>
    <w:rsid w:val="00260607"/>
    <w:rsid w:val="00262F28"/>
    <w:rsid w:val="00271E07"/>
    <w:rsid w:val="00274716"/>
    <w:rsid w:val="002768B4"/>
    <w:rsid w:val="00284759"/>
    <w:rsid w:val="00285CFF"/>
    <w:rsid w:val="00287AF1"/>
    <w:rsid w:val="00287D87"/>
    <w:rsid w:val="00294C02"/>
    <w:rsid w:val="002B11AC"/>
    <w:rsid w:val="002B252C"/>
    <w:rsid w:val="002B2E9A"/>
    <w:rsid w:val="002B68E3"/>
    <w:rsid w:val="002C1408"/>
    <w:rsid w:val="002C2330"/>
    <w:rsid w:val="002C6609"/>
    <w:rsid w:val="002D0A10"/>
    <w:rsid w:val="002D7DD1"/>
    <w:rsid w:val="002E363A"/>
    <w:rsid w:val="002E4339"/>
    <w:rsid w:val="002F143C"/>
    <w:rsid w:val="002F1D9E"/>
    <w:rsid w:val="0030597C"/>
    <w:rsid w:val="00320747"/>
    <w:rsid w:val="00320806"/>
    <w:rsid w:val="0032140D"/>
    <w:rsid w:val="00323AF6"/>
    <w:rsid w:val="0033063E"/>
    <w:rsid w:val="003306BE"/>
    <w:rsid w:val="0033099D"/>
    <w:rsid w:val="00332307"/>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772A"/>
    <w:rsid w:val="00387AF5"/>
    <w:rsid w:val="00391BA2"/>
    <w:rsid w:val="003920E7"/>
    <w:rsid w:val="0039787C"/>
    <w:rsid w:val="003A36F5"/>
    <w:rsid w:val="003A6AB9"/>
    <w:rsid w:val="003B2E23"/>
    <w:rsid w:val="003B32AE"/>
    <w:rsid w:val="003B6CFF"/>
    <w:rsid w:val="003C271A"/>
    <w:rsid w:val="003C7A73"/>
    <w:rsid w:val="003D3606"/>
    <w:rsid w:val="003D693C"/>
    <w:rsid w:val="003E33AF"/>
    <w:rsid w:val="003E3DFF"/>
    <w:rsid w:val="003F4B95"/>
    <w:rsid w:val="00401AC0"/>
    <w:rsid w:val="00403877"/>
    <w:rsid w:val="00410EE1"/>
    <w:rsid w:val="00412ADF"/>
    <w:rsid w:val="004232E1"/>
    <w:rsid w:val="004251A5"/>
    <w:rsid w:val="00427513"/>
    <w:rsid w:val="00427956"/>
    <w:rsid w:val="00434AAC"/>
    <w:rsid w:val="0043659C"/>
    <w:rsid w:val="00437A51"/>
    <w:rsid w:val="0044058E"/>
    <w:rsid w:val="00444941"/>
    <w:rsid w:val="004529D8"/>
    <w:rsid w:val="00452BE4"/>
    <w:rsid w:val="00460373"/>
    <w:rsid w:val="00465C8D"/>
    <w:rsid w:val="00471B7A"/>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FE0"/>
    <w:rsid w:val="0051239D"/>
    <w:rsid w:val="005168AA"/>
    <w:rsid w:val="00523644"/>
    <w:rsid w:val="005373BC"/>
    <w:rsid w:val="00547AC1"/>
    <w:rsid w:val="0055053E"/>
    <w:rsid w:val="0055448B"/>
    <w:rsid w:val="00565946"/>
    <w:rsid w:val="00571BF1"/>
    <w:rsid w:val="00586706"/>
    <w:rsid w:val="0058787B"/>
    <w:rsid w:val="00587956"/>
    <w:rsid w:val="005971DE"/>
    <w:rsid w:val="005A0878"/>
    <w:rsid w:val="005A15A0"/>
    <w:rsid w:val="005A1BA0"/>
    <w:rsid w:val="005A4B28"/>
    <w:rsid w:val="005A50BB"/>
    <w:rsid w:val="005A5961"/>
    <w:rsid w:val="005B1EA7"/>
    <w:rsid w:val="005D1DEA"/>
    <w:rsid w:val="005E1074"/>
    <w:rsid w:val="005E51BF"/>
    <w:rsid w:val="005E5FC2"/>
    <w:rsid w:val="005E6844"/>
    <w:rsid w:val="005F4477"/>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1576"/>
    <w:rsid w:val="00693B7F"/>
    <w:rsid w:val="00694A05"/>
    <w:rsid w:val="00694E3B"/>
    <w:rsid w:val="006A25CA"/>
    <w:rsid w:val="006A4A59"/>
    <w:rsid w:val="006C433A"/>
    <w:rsid w:val="006C61AB"/>
    <w:rsid w:val="006C6B21"/>
    <w:rsid w:val="006C7DA8"/>
    <w:rsid w:val="006D1E73"/>
    <w:rsid w:val="006F2A20"/>
    <w:rsid w:val="006F504E"/>
    <w:rsid w:val="007000E8"/>
    <w:rsid w:val="00700965"/>
    <w:rsid w:val="00704FA5"/>
    <w:rsid w:val="00706069"/>
    <w:rsid w:val="00712AF1"/>
    <w:rsid w:val="00713D5B"/>
    <w:rsid w:val="007174FE"/>
    <w:rsid w:val="00723C6A"/>
    <w:rsid w:val="00726AE7"/>
    <w:rsid w:val="00727265"/>
    <w:rsid w:val="00730562"/>
    <w:rsid w:val="00733256"/>
    <w:rsid w:val="00734470"/>
    <w:rsid w:val="007417AD"/>
    <w:rsid w:val="00743864"/>
    <w:rsid w:val="00743A30"/>
    <w:rsid w:val="00746AE2"/>
    <w:rsid w:val="00750084"/>
    <w:rsid w:val="00752E29"/>
    <w:rsid w:val="00756E42"/>
    <w:rsid w:val="00762423"/>
    <w:rsid w:val="00771590"/>
    <w:rsid w:val="0077232F"/>
    <w:rsid w:val="00775233"/>
    <w:rsid w:val="0077734A"/>
    <w:rsid w:val="00781539"/>
    <w:rsid w:val="007904D3"/>
    <w:rsid w:val="007938A7"/>
    <w:rsid w:val="00794BCE"/>
    <w:rsid w:val="007A1F54"/>
    <w:rsid w:val="007B19D5"/>
    <w:rsid w:val="007B4061"/>
    <w:rsid w:val="007B7557"/>
    <w:rsid w:val="007B7A2B"/>
    <w:rsid w:val="007D5893"/>
    <w:rsid w:val="007D61D1"/>
    <w:rsid w:val="007E38F1"/>
    <w:rsid w:val="007F2BC1"/>
    <w:rsid w:val="008045B6"/>
    <w:rsid w:val="008063A4"/>
    <w:rsid w:val="00812C7A"/>
    <w:rsid w:val="00815A45"/>
    <w:rsid w:val="00831F58"/>
    <w:rsid w:val="00832229"/>
    <w:rsid w:val="0083376C"/>
    <w:rsid w:val="00835AF9"/>
    <w:rsid w:val="00840BF2"/>
    <w:rsid w:val="0085343A"/>
    <w:rsid w:val="00857DF9"/>
    <w:rsid w:val="00865F5E"/>
    <w:rsid w:val="008703FE"/>
    <w:rsid w:val="00873A42"/>
    <w:rsid w:val="008776EB"/>
    <w:rsid w:val="0088279F"/>
    <w:rsid w:val="008839A9"/>
    <w:rsid w:val="00885095"/>
    <w:rsid w:val="008872F7"/>
    <w:rsid w:val="00890828"/>
    <w:rsid w:val="0089650C"/>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43BE6"/>
    <w:rsid w:val="00943D35"/>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4393"/>
    <w:rsid w:val="00A5642C"/>
    <w:rsid w:val="00A659E9"/>
    <w:rsid w:val="00A736B9"/>
    <w:rsid w:val="00A75DBE"/>
    <w:rsid w:val="00A81974"/>
    <w:rsid w:val="00A832AC"/>
    <w:rsid w:val="00A850FF"/>
    <w:rsid w:val="00A8765B"/>
    <w:rsid w:val="00A96AA3"/>
    <w:rsid w:val="00A977A8"/>
    <w:rsid w:val="00AA4527"/>
    <w:rsid w:val="00AA53D5"/>
    <w:rsid w:val="00AB6B95"/>
    <w:rsid w:val="00AC023D"/>
    <w:rsid w:val="00AC1DF5"/>
    <w:rsid w:val="00AD31E3"/>
    <w:rsid w:val="00AE0516"/>
    <w:rsid w:val="00AE1F3A"/>
    <w:rsid w:val="00AE5C2E"/>
    <w:rsid w:val="00B0079C"/>
    <w:rsid w:val="00B02823"/>
    <w:rsid w:val="00B06D14"/>
    <w:rsid w:val="00B10CEB"/>
    <w:rsid w:val="00B140BC"/>
    <w:rsid w:val="00B20059"/>
    <w:rsid w:val="00B2594E"/>
    <w:rsid w:val="00B311ED"/>
    <w:rsid w:val="00B365FE"/>
    <w:rsid w:val="00B375FC"/>
    <w:rsid w:val="00B46C78"/>
    <w:rsid w:val="00B53E8E"/>
    <w:rsid w:val="00B5473F"/>
    <w:rsid w:val="00B70B5F"/>
    <w:rsid w:val="00B74BAC"/>
    <w:rsid w:val="00B8005B"/>
    <w:rsid w:val="00B82209"/>
    <w:rsid w:val="00B82A5A"/>
    <w:rsid w:val="00B95719"/>
    <w:rsid w:val="00BA50AD"/>
    <w:rsid w:val="00BB0D99"/>
    <w:rsid w:val="00BB5CAA"/>
    <w:rsid w:val="00BB6D63"/>
    <w:rsid w:val="00BB7C59"/>
    <w:rsid w:val="00BC166A"/>
    <w:rsid w:val="00BC42B7"/>
    <w:rsid w:val="00BD2784"/>
    <w:rsid w:val="00BD2787"/>
    <w:rsid w:val="00BD2A91"/>
    <w:rsid w:val="00BE22C6"/>
    <w:rsid w:val="00BE46D4"/>
    <w:rsid w:val="00BF0D4D"/>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866C3"/>
    <w:rsid w:val="00C86F22"/>
    <w:rsid w:val="00C91576"/>
    <w:rsid w:val="00CA0136"/>
    <w:rsid w:val="00CB00C8"/>
    <w:rsid w:val="00CB2F1A"/>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526AE"/>
    <w:rsid w:val="00D635CA"/>
    <w:rsid w:val="00D650CC"/>
    <w:rsid w:val="00D67D53"/>
    <w:rsid w:val="00D70D03"/>
    <w:rsid w:val="00D74839"/>
    <w:rsid w:val="00D74B57"/>
    <w:rsid w:val="00D77D1F"/>
    <w:rsid w:val="00D8607F"/>
    <w:rsid w:val="00D94DBA"/>
    <w:rsid w:val="00DA64DB"/>
    <w:rsid w:val="00DA68E0"/>
    <w:rsid w:val="00DB6FE7"/>
    <w:rsid w:val="00DC7F4C"/>
    <w:rsid w:val="00DD5EFA"/>
    <w:rsid w:val="00DE213A"/>
    <w:rsid w:val="00DE3454"/>
    <w:rsid w:val="00DE4E4B"/>
    <w:rsid w:val="00DF7B4F"/>
    <w:rsid w:val="00E00814"/>
    <w:rsid w:val="00E07227"/>
    <w:rsid w:val="00E12FC6"/>
    <w:rsid w:val="00E20310"/>
    <w:rsid w:val="00E213E6"/>
    <w:rsid w:val="00E278A7"/>
    <w:rsid w:val="00E30594"/>
    <w:rsid w:val="00E43C55"/>
    <w:rsid w:val="00E50127"/>
    <w:rsid w:val="00E52B74"/>
    <w:rsid w:val="00E60566"/>
    <w:rsid w:val="00E63962"/>
    <w:rsid w:val="00E648E7"/>
    <w:rsid w:val="00E65B2A"/>
    <w:rsid w:val="00E72607"/>
    <w:rsid w:val="00E75AF0"/>
    <w:rsid w:val="00E82674"/>
    <w:rsid w:val="00E835BC"/>
    <w:rsid w:val="00E92ED5"/>
    <w:rsid w:val="00E96CCE"/>
    <w:rsid w:val="00EA1298"/>
    <w:rsid w:val="00EB3DDD"/>
    <w:rsid w:val="00EB6F7C"/>
    <w:rsid w:val="00EC0A9F"/>
    <w:rsid w:val="00EC57A1"/>
    <w:rsid w:val="00ED3BE5"/>
    <w:rsid w:val="00ED40F5"/>
    <w:rsid w:val="00ED6D0C"/>
    <w:rsid w:val="00EE1854"/>
    <w:rsid w:val="00EE2B20"/>
    <w:rsid w:val="00EE3795"/>
    <w:rsid w:val="00EE605F"/>
    <w:rsid w:val="00EE733C"/>
    <w:rsid w:val="00EF4BED"/>
    <w:rsid w:val="00F035EF"/>
    <w:rsid w:val="00F1104A"/>
    <w:rsid w:val="00F11E39"/>
    <w:rsid w:val="00F13044"/>
    <w:rsid w:val="00F302BA"/>
    <w:rsid w:val="00F452F8"/>
    <w:rsid w:val="00F539E6"/>
    <w:rsid w:val="00F54101"/>
    <w:rsid w:val="00F54F2B"/>
    <w:rsid w:val="00F556AA"/>
    <w:rsid w:val="00F56391"/>
    <w:rsid w:val="00F609BC"/>
    <w:rsid w:val="00F6709A"/>
    <w:rsid w:val="00F700AC"/>
    <w:rsid w:val="00F7057E"/>
    <w:rsid w:val="00F80A90"/>
    <w:rsid w:val="00FC3C94"/>
    <w:rsid w:val="00FC499A"/>
    <w:rsid w:val="00FD5482"/>
    <w:rsid w:val="00FD5BA7"/>
    <w:rsid w:val="00FE18FE"/>
    <w:rsid w:val="00FF1EAD"/>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keting@metz-connect.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tz-connect.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695</Words>
  <Characters>4380</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5065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7</cp:revision>
  <cp:lastPrinted>2023-08-10T09:48:00Z</cp:lastPrinted>
  <dcterms:created xsi:type="dcterms:W3CDTF">2023-09-21T11:29:00Z</dcterms:created>
  <dcterms:modified xsi:type="dcterms:W3CDTF">2025-08-15T06:02:00Z</dcterms:modified>
</cp:coreProperties>
</file>